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11　亚急性甲状腺炎(助理不考)</w:t>
      </w:r>
    </w:p>
    <w:p>
      <w:pPr>
        <w:pStyle w:val="5"/>
        <w:keepNext w:val="0"/>
        <w:keepLines w:val="0"/>
        <w:widowControl/>
        <w:suppressLineNumbers w:val="0"/>
        <w:rPr>
          <w:sz w:val="28"/>
          <w:szCs w:val="28"/>
        </w:rPr>
      </w:pPr>
      <w:r>
        <w:rPr>
          <w:sz w:val="28"/>
          <w:szCs w:val="28"/>
        </w:rPr>
        <w:t>　　1.临床表现　多数表现为甲状腺突然肿胀、发硬、吞咽困难及疼痛，并向患侧耳颞处放射。 甲状腺轻、中度肿大，中等硬度，触痛明显。</w:t>
      </w:r>
    </w:p>
    <w:p>
      <w:pPr>
        <w:pStyle w:val="5"/>
        <w:keepNext w:val="0"/>
        <w:keepLines w:val="0"/>
        <w:widowControl/>
        <w:suppressLineNumbers w:val="0"/>
        <w:rPr>
          <w:sz w:val="28"/>
          <w:szCs w:val="28"/>
        </w:rPr>
      </w:pPr>
      <w:r>
        <w:rPr>
          <w:sz w:val="28"/>
          <w:szCs w:val="28"/>
        </w:rPr>
        <w:t>　　2.实验室检查　本病可分为 3 期，即甲状腺毒症期、甲减期和恢复期。</w:t>
      </w:r>
    </w:p>
    <w:p>
      <w:pPr>
        <w:pStyle w:val="5"/>
        <w:keepNext w:val="0"/>
        <w:keepLines w:val="0"/>
        <w:widowControl/>
        <w:suppressLineNumbers w:val="0"/>
        <w:rPr>
          <w:sz w:val="28"/>
          <w:szCs w:val="28"/>
        </w:rPr>
      </w:pPr>
      <w:r>
        <w:rPr>
          <w:sz w:val="28"/>
          <w:szCs w:val="28"/>
        </w:rPr>
        <w:t>　　(1)甲状腺毒症期 T 3 、T 4 升高，TSH 降低， 131 I 摄取率降低。</w:t>
      </w:r>
    </w:p>
    <w:p>
      <w:pPr>
        <w:pStyle w:val="5"/>
        <w:keepNext w:val="0"/>
        <w:keepLines w:val="0"/>
        <w:widowControl/>
        <w:suppressLineNumbers w:val="0"/>
        <w:rPr>
          <w:sz w:val="28"/>
          <w:szCs w:val="28"/>
        </w:rPr>
      </w:pPr>
      <w:r>
        <w:rPr>
          <w:sz w:val="28"/>
          <w:szCs w:val="28"/>
        </w:rPr>
        <w:t>　　(2)甲减期 T 3 、T 4 逐渐下降至正常水平以下，TSH 回升至高于正常值， 131 I 摄取率逐渐恢复。</w:t>
      </w:r>
    </w:p>
    <w:p>
      <w:pPr>
        <w:pStyle w:val="5"/>
        <w:keepNext w:val="0"/>
        <w:keepLines w:val="0"/>
        <w:widowControl/>
        <w:suppressLineNumbers w:val="0"/>
        <w:rPr>
          <w:sz w:val="28"/>
          <w:szCs w:val="28"/>
        </w:rPr>
      </w:pPr>
      <w:r>
        <w:rPr>
          <w:sz w:val="28"/>
          <w:szCs w:val="28"/>
        </w:rPr>
        <w:t>　　(3)恢复期 T 3 、T 4 、TSH 和 131 I 摄取率恢复至正常。</w:t>
      </w:r>
    </w:p>
    <w:p>
      <w:pPr>
        <w:pStyle w:val="5"/>
        <w:keepNext w:val="0"/>
        <w:keepLines w:val="0"/>
        <w:widowControl/>
        <w:suppressLineNumbers w:val="0"/>
        <w:rPr>
          <w:sz w:val="28"/>
          <w:szCs w:val="28"/>
        </w:rPr>
      </w:pPr>
      <w:r>
        <w:rPr>
          <w:sz w:val="28"/>
          <w:szCs w:val="28"/>
        </w:rPr>
        <w:t>　　3.治疗　轻型患者仅需非甾体类抗炎药，病情重、疼痛剧者使用泼尼松。</w:t>
      </w:r>
    </w:p>
    <w:p>
      <w:pPr>
        <w:pStyle w:val="5"/>
        <w:keepNext w:val="0"/>
        <w:keepLines w:val="0"/>
        <w:widowControl/>
        <w:suppressLineNumbers w:val="0"/>
        <w:rPr>
          <w:b/>
          <w:bCs/>
          <w:sz w:val="28"/>
          <w:szCs w:val="28"/>
        </w:rPr>
      </w:pPr>
      <w:r>
        <w:rPr>
          <w:b/>
          <w:bCs/>
          <w:sz w:val="28"/>
          <w:szCs w:val="28"/>
        </w:rPr>
        <w:t>　　★考点 12　单纯性甲状腺肿</w:t>
      </w:r>
    </w:p>
    <w:p>
      <w:pPr>
        <w:pStyle w:val="5"/>
        <w:keepNext w:val="0"/>
        <w:keepLines w:val="0"/>
        <w:widowControl/>
        <w:suppressLineNumbers w:val="0"/>
        <w:rPr>
          <w:sz w:val="28"/>
          <w:szCs w:val="28"/>
        </w:rPr>
      </w:pPr>
      <w:r>
        <w:rPr>
          <w:sz w:val="28"/>
          <w:szCs w:val="28"/>
        </w:rPr>
        <w:t>　　1.病因　缺碘是引起单纯性甲状腺肿的主要病因。 可分为三类:</w:t>
      </w:r>
    </w:p>
    <w:p>
      <w:pPr>
        <w:pStyle w:val="5"/>
        <w:keepNext w:val="0"/>
        <w:keepLines w:val="0"/>
        <w:widowControl/>
        <w:suppressLineNumbers w:val="0"/>
        <w:rPr>
          <w:sz w:val="28"/>
          <w:szCs w:val="28"/>
        </w:rPr>
      </w:pPr>
      <w:r>
        <w:rPr>
          <w:sz w:val="28"/>
          <w:szCs w:val="28"/>
        </w:rPr>
        <w:t>　　(1)甲状腺素原料(碘)缺乏。</w:t>
      </w:r>
    </w:p>
    <w:p>
      <w:pPr>
        <w:pStyle w:val="5"/>
        <w:keepNext w:val="0"/>
        <w:keepLines w:val="0"/>
        <w:widowControl/>
        <w:suppressLineNumbers w:val="0"/>
        <w:rPr>
          <w:sz w:val="28"/>
          <w:szCs w:val="28"/>
        </w:rPr>
      </w:pPr>
      <w:r>
        <w:rPr>
          <w:sz w:val="28"/>
          <w:szCs w:val="28"/>
        </w:rPr>
        <w:t>　　(2)体内甲状腺素需要量增高。</w:t>
      </w:r>
    </w:p>
    <w:p>
      <w:pPr>
        <w:pStyle w:val="5"/>
        <w:keepNext w:val="0"/>
        <w:keepLines w:val="0"/>
        <w:widowControl/>
        <w:suppressLineNumbers w:val="0"/>
        <w:rPr>
          <w:sz w:val="28"/>
          <w:szCs w:val="28"/>
        </w:rPr>
      </w:pPr>
      <w:r>
        <w:rPr>
          <w:sz w:val="28"/>
          <w:szCs w:val="28"/>
        </w:rPr>
        <w:t>　　(3)甲状腺素合成和分泌的障碍。</w:t>
      </w:r>
    </w:p>
    <w:p>
      <w:pPr>
        <w:pStyle w:val="5"/>
        <w:keepNext w:val="0"/>
        <w:keepLines w:val="0"/>
        <w:widowControl/>
        <w:suppressLineNumbers w:val="0"/>
        <w:rPr>
          <w:sz w:val="28"/>
          <w:szCs w:val="28"/>
        </w:rPr>
      </w:pPr>
      <w:r>
        <w:rPr>
          <w:sz w:val="28"/>
          <w:szCs w:val="28"/>
        </w:rPr>
        <w:t>　　2.临床表现　主要表现为甲状腺弥漫性肿大，多对称，表面光滑，质地柔软，后期发生多个结节，肿大加重，出现压迫症状。</w:t>
      </w:r>
    </w:p>
    <w:p>
      <w:pPr>
        <w:pStyle w:val="5"/>
        <w:keepNext w:val="0"/>
        <w:keepLines w:val="0"/>
        <w:widowControl/>
        <w:suppressLineNumbers w:val="0"/>
        <w:rPr>
          <w:sz w:val="28"/>
          <w:szCs w:val="28"/>
        </w:rPr>
      </w:pPr>
      <w:r>
        <w:rPr>
          <w:sz w:val="28"/>
          <w:szCs w:val="28"/>
        </w:rPr>
        <w:t>　　3.诊断　单纯肿:血清 TT 4 、TT 3 正常，血清 TSH 一般正常，TT 4 / TT 3 比值常增高，血清甲状腺球蛋白水平增高，甲亢:血清 TT 4 、FT 4 增高，TSH 减低，甲减:血清 TT 4 、FT 4 减低，TSH 增高。 (T 3 主要是外周 T 4 转换，故测 T 4 更为敏感)。</w:t>
      </w:r>
    </w:p>
    <w:p>
      <w:pPr>
        <w:pStyle w:val="5"/>
        <w:keepNext w:val="0"/>
        <w:keepLines w:val="0"/>
        <w:widowControl/>
        <w:suppressLineNumbers w:val="0"/>
        <w:rPr>
          <w:sz w:val="28"/>
          <w:szCs w:val="28"/>
        </w:rPr>
      </w:pPr>
      <w:r>
        <w:rPr>
          <w:sz w:val="28"/>
          <w:szCs w:val="28"/>
        </w:rPr>
        <w:t>　　4.治疗指征　因气管、食管或喉返神经受压引起临床症状者，胸骨后甲状腺肿，巨大甲状腺肿影响生活和工作者，结节性甲状腺肿继发功能亢进者，甲状腺结节疑有恶变者或细针穿刺细胞学检查见癌细胞者。</w:t>
      </w:r>
    </w:p>
    <w:p>
      <w:pPr>
        <w:pStyle w:val="5"/>
        <w:keepNext w:val="0"/>
        <w:keepLines w:val="0"/>
        <w:widowControl/>
        <w:suppressLineNumbers w:val="0"/>
        <w:rPr>
          <w:b/>
          <w:bCs/>
          <w:sz w:val="28"/>
          <w:szCs w:val="28"/>
        </w:rPr>
      </w:pPr>
      <w:r>
        <w:rPr>
          <w:b/>
          <w:bCs/>
          <w:sz w:val="28"/>
          <w:szCs w:val="28"/>
        </w:rPr>
        <w:t>　　★考点 13　甲状旁腺功能亢进症(助理不考)</w:t>
      </w:r>
    </w:p>
    <w:p>
      <w:pPr>
        <w:pStyle w:val="5"/>
        <w:keepNext w:val="0"/>
        <w:keepLines w:val="0"/>
        <w:widowControl/>
        <w:suppressLineNumbers w:val="0"/>
        <w:rPr>
          <w:sz w:val="28"/>
          <w:szCs w:val="28"/>
        </w:rPr>
      </w:pPr>
      <w:r>
        <w:rPr>
          <w:sz w:val="28"/>
          <w:szCs w:val="28"/>
        </w:rPr>
        <w:t>　　1.临床表现</w:t>
      </w:r>
    </w:p>
    <w:p>
      <w:pPr>
        <w:pStyle w:val="5"/>
        <w:keepNext w:val="0"/>
        <w:keepLines w:val="0"/>
        <w:widowControl/>
        <w:suppressLineNumbers w:val="0"/>
        <w:rPr>
          <w:sz w:val="28"/>
          <w:szCs w:val="28"/>
        </w:rPr>
      </w:pPr>
      <w:r>
        <w:rPr>
          <w:sz w:val="28"/>
          <w:szCs w:val="28"/>
        </w:rPr>
        <w:t>　　(1)消化系统:可有胃纳不振、便秘、腹胀、恶心、呕吐等症状。</w:t>
      </w:r>
    </w:p>
    <w:p>
      <w:pPr>
        <w:pStyle w:val="5"/>
        <w:keepNext w:val="0"/>
        <w:keepLines w:val="0"/>
        <w:widowControl/>
        <w:suppressLineNumbers w:val="0"/>
        <w:rPr>
          <w:sz w:val="28"/>
          <w:szCs w:val="28"/>
        </w:rPr>
      </w:pPr>
      <w:r>
        <w:rPr>
          <w:sz w:val="28"/>
          <w:szCs w:val="28"/>
        </w:rPr>
        <w:t>　　(2)神经肌肉系统:四肢肌肉松弛，张力减退，患者易于疲乏软弱。</w:t>
      </w:r>
    </w:p>
    <w:p>
      <w:pPr>
        <w:pStyle w:val="5"/>
        <w:keepNext w:val="0"/>
        <w:keepLines w:val="0"/>
        <w:widowControl/>
        <w:suppressLineNumbers w:val="0"/>
        <w:rPr>
          <w:sz w:val="28"/>
          <w:szCs w:val="28"/>
        </w:rPr>
      </w:pPr>
      <w:r>
        <w:rPr>
          <w:sz w:val="28"/>
          <w:szCs w:val="28"/>
        </w:rPr>
        <w:t>　　(3)泌尿系统:多尿、口渴、多饮，尿结石发生率也较高。</w:t>
      </w:r>
    </w:p>
    <w:p>
      <w:pPr>
        <w:pStyle w:val="5"/>
        <w:keepNext w:val="0"/>
        <w:keepLines w:val="0"/>
        <w:widowControl/>
        <w:suppressLineNumbers w:val="0"/>
        <w:rPr>
          <w:sz w:val="28"/>
          <w:szCs w:val="28"/>
        </w:rPr>
      </w:pPr>
      <w:r>
        <w:rPr>
          <w:sz w:val="28"/>
          <w:szCs w:val="28"/>
        </w:rPr>
        <w:t>　　(4)骨骼系统:早期可出现骨痛，后期主要表现为纤维囊性骨炎。</w:t>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(1)患者有反复发作尿路结石、骨痛，骨骼 X 线摄片有骨膜下皮质骨吸收、囊肿样变化、多发性骨折或畸形等。</w:t>
      </w:r>
    </w:p>
    <w:p>
      <w:pPr>
        <w:pStyle w:val="5"/>
        <w:keepNext w:val="0"/>
        <w:keepLines w:val="0"/>
        <w:widowControl/>
        <w:suppressLineNumbers w:val="0"/>
        <w:rPr>
          <w:sz w:val="28"/>
          <w:szCs w:val="28"/>
        </w:rPr>
      </w:pPr>
      <w:r>
        <w:rPr>
          <w:sz w:val="28"/>
          <w:szCs w:val="28"/>
        </w:rPr>
        <w:t>　　(2)血钙测定是发现甲状旁腺亢进的首要指标。</w:t>
      </w:r>
    </w:p>
    <w:p>
      <w:pPr>
        <w:pStyle w:val="5"/>
        <w:keepNext w:val="0"/>
        <w:keepLines w:val="0"/>
        <w:widowControl/>
        <w:suppressLineNumbers w:val="0"/>
        <w:rPr>
          <w:sz w:val="28"/>
          <w:szCs w:val="28"/>
        </w:rPr>
      </w:pPr>
      <w:r>
        <w:rPr>
          <w:sz w:val="28"/>
          <w:szCs w:val="28"/>
        </w:rPr>
        <w:t>　　(3)甲状旁腺素(PTH)增高。</w:t>
      </w:r>
    </w:p>
    <w:p>
      <w:pPr>
        <w:pStyle w:val="5"/>
        <w:keepNext w:val="0"/>
        <w:keepLines w:val="0"/>
        <w:widowControl/>
        <w:suppressLineNumbers w:val="0"/>
        <w:rPr>
          <w:sz w:val="28"/>
          <w:szCs w:val="28"/>
        </w:rPr>
      </w:pPr>
      <w:r>
        <w:rPr>
          <w:sz w:val="28"/>
          <w:szCs w:val="28"/>
        </w:rPr>
        <w:t>　　3.治疗</w:t>
      </w:r>
    </w:p>
    <w:p>
      <w:pPr>
        <w:pStyle w:val="5"/>
        <w:keepNext w:val="0"/>
        <w:keepLines w:val="0"/>
        <w:widowControl/>
        <w:suppressLineNumbers w:val="0"/>
        <w:rPr>
          <w:sz w:val="28"/>
          <w:szCs w:val="28"/>
        </w:rPr>
      </w:pPr>
      <w:r>
        <w:rPr>
          <w:sz w:val="28"/>
          <w:szCs w:val="28"/>
        </w:rPr>
        <w:t>　　有症状或有并发症的原发性甲旁亢患者，外科手术效果确切。 若高钙血症极轻微，或年老、体弱不能手术，可试用药物治疗。</w:t>
      </w:r>
    </w:p>
    <w:p>
      <w:pPr>
        <w:pStyle w:val="5"/>
        <w:keepNext w:val="0"/>
        <w:keepLines w:val="0"/>
        <w:widowControl/>
        <w:suppressLineNumbers w:val="0"/>
        <w:rPr>
          <w:b/>
          <w:bCs/>
          <w:sz w:val="28"/>
          <w:szCs w:val="28"/>
        </w:rPr>
      </w:pPr>
      <w:r>
        <w:rPr>
          <w:b/>
          <w:bCs/>
          <w:sz w:val="28"/>
          <w:szCs w:val="28"/>
        </w:rPr>
        <w:t>　　★考点 14　库欣综合征</w:t>
      </w:r>
    </w:p>
    <w:p>
      <w:pPr>
        <w:pStyle w:val="5"/>
        <w:keepNext w:val="0"/>
        <w:keepLines w:val="0"/>
        <w:widowControl/>
        <w:suppressLineNumbers w:val="0"/>
        <w:rPr>
          <w:sz w:val="28"/>
          <w:szCs w:val="28"/>
        </w:rPr>
      </w:pPr>
      <w:r>
        <w:rPr>
          <w:sz w:val="28"/>
          <w:szCs w:val="28"/>
        </w:rPr>
        <w:t>　　1.病因</w:t>
      </w:r>
    </w:p>
    <w:p>
      <w:pPr>
        <w:pStyle w:val="5"/>
        <w:keepNext w:val="0"/>
        <w:keepLines w:val="0"/>
        <w:widowControl/>
        <w:suppressLineNumbers w:val="0"/>
        <w:rPr>
          <w:sz w:val="28"/>
          <w:szCs w:val="28"/>
        </w:rPr>
      </w:pPr>
      <w:r>
        <w:rPr>
          <w:sz w:val="28"/>
          <w:szCs w:val="28"/>
        </w:rPr>
        <w:t>　　(1)Cushing 综合征:各种病因造成肾上腺分泌过多糖皮质激素(主要是皮质醇)所致疾病的总称。</w:t>
      </w:r>
    </w:p>
    <w:p>
      <w:pPr>
        <w:pStyle w:val="5"/>
        <w:keepNext w:val="0"/>
        <w:keepLines w:val="0"/>
        <w:widowControl/>
        <w:suppressLineNumbers w:val="0"/>
        <w:rPr>
          <w:sz w:val="28"/>
          <w:szCs w:val="28"/>
        </w:rPr>
      </w:pPr>
      <w:r>
        <w:rPr>
          <w:sz w:val="28"/>
          <w:szCs w:val="28"/>
        </w:rPr>
        <w:t>　　(2)Cushing 病:在 Cushing 综合征病因中，约 70%是由垂体 ACTH 分泌亢进所致疾病。</w:t>
      </w:r>
    </w:p>
    <w:p>
      <w:pPr>
        <w:pStyle w:val="5"/>
        <w:keepNext w:val="0"/>
        <w:keepLines w:val="0"/>
        <w:widowControl/>
        <w:suppressLineNumbers w:val="0"/>
        <w:rPr>
          <w:sz w:val="28"/>
          <w:szCs w:val="28"/>
        </w:rPr>
      </w:pPr>
      <w:r>
        <w:rPr>
          <w:sz w:val="28"/>
          <w:szCs w:val="28"/>
        </w:rPr>
        <w:t>　　2.临床表现　向心性肥胖，满月脸，水牛背(库欣综合征主要临床表现是激素分泌多了，所以想一想激素用多了的副作用即可)。</w:t>
      </w:r>
    </w:p>
    <w:p>
      <w:pPr>
        <w:pStyle w:val="5"/>
        <w:keepNext w:val="0"/>
        <w:keepLines w:val="0"/>
        <w:widowControl/>
        <w:suppressLineNumbers w:val="0"/>
        <w:rPr>
          <w:sz w:val="28"/>
          <w:szCs w:val="28"/>
        </w:rPr>
      </w:pPr>
      <w:r>
        <w:rPr>
          <w:sz w:val="28"/>
          <w:szCs w:val="28"/>
        </w:rPr>
        <w:t>　　3.诊断</w:t>
      </w:r>
    </w:p>
    <w:p>
      <w:pPr>
        <w:pStyle w:val="5"/>
        <w:keepNext w:val="0"/>
        <w:keepLines w:val="0"/>
        <w:widowControl/>
        <w:suppressLineNumbers w:val="0"/>
        <w:rPr>
          <w:sz w:val="28"/>
          <w:szCs w:val="28"/>
        </w:rPr>
      </w:pPr>
      <w:r>
        <w:rPr>
          <w:sz w:val="28"/>
          <w:szCs w:val="28"/>
        </w:rPr>
        <w:t>　　(1)小剂量地塞米松抑制试验是确诊试验，大剂量地塞米松抑制试验是鉴别诊断试验，MRI、CT 是定位诊断。</w:t>
      </w:r>
    </w:p>
    <w:p>
      <w:pPr>
        <w:pStyle w:val="5"/>
        <w:keepNext w:val="0"/>
        <w:keepLines w:val="0"/>
        <w:widowControl/>
        <w:suppressLineNumbers w:val="0"/>
        <w:rPr>
          <w:sz w:val="28"/>
          <w:szCs w:val="28"/>
        </w:rPr>
      </w:pPr>
      <w:r>
        <w:rPr>
          <w:sz w:val="28"/>
          <w:szCs w:val="28"/>
        </w:rPr>
        <w:t>　　(2)确定是否为库欣综合征依据:小剂量地塞米松抑制试验或过夜地塞米松抑制试验时增高的尿或血皮质醇水平不被抑制是库欣综合征必需的确诊试验。</w:t>
      </w:r>
    </w:p>
    <w:p>
      <w:pPr>
        <w:pStyle w:val="5"/>
        <w:keepNext w:val="0"/>
        <w:keepLines w:val="0"/>
        <w:widowControl/>
        <w:suppressLineNumbers w:val="0"/>
        <w:rPr>
          <w:sz w:val="28"/>
          <w:szCs w:val="28"/>
        </w:rPr>
      </w:pPr>
      <w:r>
        <w:rPr>
          <w:sz w:val="28"/>
          <w:szCs w:val="28"/>
        </w:rPr>
        <w:t>　　4.治疗　目的是纠正高皮质醇血症，去除造成皮质醇增多的病因。</w:t>
      </w:r>
    </w:p>
    <w:p>
      <w:pPr>
        <w:pStyle w:val="5"/>
        <w:keepNext w:val="0"/>
        <w:keepLines w:val="0"/>
        <w:widowControl/>
        <w:suppressLineNumbers w:val="0"/>
        <w:rPr>
          <w:b/>
          <w:bCs/>
          <w:sz w:val="28"/>
          <w:szCs w:val="28"/>
        </w:rPr>
      </w:pPr>
      <w:r>
        <w:rPr>
          <w:b/>
          <w:bCs/>
          <w:sz w:val="28"/>
          <w:szCs w:val="28"/>
        </w:rPr>
        <w:t>　　★考点 15　原发性醛固酮增多症</w:t>
      </w:r>
    </w:p>
    <w:p>
      <w:pPr>
        <w:pStyle w:val="5"/>
        <w:keepNext w:val="0"/>
        <w:keepLines w:val="0"/>
        <w:widowControl/>
        <w:suppressLineNumbers w:val="0"/>
        <w:rPr>
          <w:sz w:val="28"/>
          <w:szCs w:val="28"/>
        </w:rPr>
      </w:pPr>
      <w:r>
        <w:rPr>
          <w:sz w:val="28"/>
          <w:szCs w:val="28"/>
        </w:rPr>
        <w:t>　　1.病因　双侧小球带增生占 10% ~40%(称特发性醛固酮增多症)，有时为结节性增生。 醛固酮瘤(Conn综合征)是最常见的病因。</w:t>
      </w:r>
    </w:p>
    <w:p>
      <w:pPr>
        <w:pStyle w:val="5"/>
        <w:keepNext w:val="0"/>
        <w:keepLines w:val="0"/>
        <w:widowControl/>
        <w:suppressLineNumbers w:val="0"/>
        <w:rPr>
          <w:sz w:val="28"/>
          <w:szCs w:val="28"/>
        </w:rPr>
      </w:pPr>
      <w:r>
        <w:rPr>
          <w:sz w:val="28"/>
          <w:szCs w:val="28"/>
        </w:rPr>
        <w:t>　　2.临床表现　高血压是最常见的症状，可出现脑卒中等，神经肌肉功能障碍 ，心电图可见 QT 时间延长、T波增宽和倒置，出现明显 U 波。</w:t>
      </w:r>
    </w:p>
    <w:p>
      <w:pPr>
        <w:pStyle w:val="5"/>
        <w:keepNext w:val="0"/>
        <w:keepLines w:val="0"/>
        <w:widowControl/>
        <w:suppressLineNumbers w:val="0"/>
        <w:rPr>
          <w:sz w:val="28"/>
          <w:szCs w:val="28"/>
        </w:rPr>
      </w:pPr>
      <w:r>
        <w:rPr>
          <w:sz w:val="28"/>
          <w:szCs w:val="28"/>
        </w:rPr>
        <w:t>　　3.诊断　高血压及低血钾的患者，血浆及尿醛固酮高，而血浆肾素活性、血管紧张素</w:t>
      </w:r>
      <w:bookmarkStart w:id="0" w:name="_GoBack"/>
      <w:bookmarkEnd w:id="0"/>
      <w:r>
        <w:rPr>
          <w:sz w:val="28"/>
          <w:szCs w:val="28"/>
        </w:rPr>
        <w:t>Ⅱ降低，螺内酯能纠正电解质代谢紊乱并降低血压，则诊断可成立。</w:t>
      </w:r>
    </w:p>
    <w:p>
      <w:pPr>
        <w:pStyle w:val="5"/>
        <w:keepNext w:val="0"/>
        <w:keepLines w:val="0"/>
        <w:widowControl/>
        <w:suppressLineNumbers w:val="0"/>
        <w:spacing w:line="360" w:lineRule="auto"/>
        <w:rPr>
          <w:rFonts w:hint="eastAsia" w:eastAsiaTheme="minorEastAsia"/>
          <w:b w:val="0"/>
          <w:bCs w:val="0"/>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1FB29EA"/>
    <w:rsid w:val="028F51CC"/>
    <w:rsid w:val="03045DFE"/>
    <w:rsid w:val="030E2367"/>
    <w:rsid w:val="034B7C4C"/>
    <w:rsid w:val="03851F10"/>
    <w:rsid w:val="03B64C06"/>
    <w:rsid w:val="03CD70C0"/>
    <w:rsid w:val="05AE48B1"/>
    <w:rsid w:val="05D5264B"/>
    <w:rsid w:val="05E2578B"/>
    <w:rsid w:val="05EB0D3C"/>
    <w:rsid w:val="0683600D"/>
    <w:rsid w:val="068C4471"/>
    <w:rsid w:val="06DE4952"/>
    <w:rsid w:val="0702187C"/>
    <w:rsid w:val="07E06662"/>
    <w:rsid w:val="07E379D6"/>
    <w:rsid w:val="07F61666"/>
    <w:rsid w:val="085D3E7A"/>
    <w:rsid w:val="0884601F"/>
    <w:rsid w:val="08F85A16"/>
    <w:rsid w:val="093D0C8B"/>
    <w:rsid w:val="094F7464"/>
    <w:rsid w:val="09F938C5"/>
    <w:rsid w:val="0B26441F"/>
    <w:rsid w:val="0C7D601E"/>
    <w:rsid w:val="0C7F7942"/>
    <w:rsid w:val="0C930AF0"/>
    <w:rsid w:val="0CB234BE"/>
    <w:rsid w:val="0DDB4502"/>
    <w:rsid w:val="0DDD4563"/>
    <w:rsid w:val="0E387C9A"/>
    <w:rsid w:val="0EAD585F"/>
    <w:rsid w:val="0EC7780F"/>
    <w:rsid w:val="0F7E62C5"/>
    <w:rsid w:val="10D839BA"/>
    <w:rsid w:val="10F42BB6"/>
    <w:rsid w:val="11B320E9"/>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0007A6"/>
    <w:rsid w:val="1C2E6E3D"/>
    <w:rsid w:val="1CE42F4D"/>
    <w:rsid w:val="1D1D70BB"/>
    <w:rsid w:val="1D3258F3"/>
    <w:rsid w:val="1DCC4082"/>
    <w:rsid w:val="1F0D41FC"/>
    <w:rsid w:val="1F4F52B3"/>
    <w:rsid w:val="20396D59"/>
    <w:rsid w:val="20667F7A"/>
    <w:rsid w:val="217B6DE0"/>
    <w:rsid w:val="21DE0DC6"/>
    <w:rsid w:val="23165BC4"/>
    <w:rsid w:val="2357359C"/>
    <w:rsid w:val="23BF5A64"/>
    <w:rsid w:val="244C015A"/>
    <w:rsid w:val="24786E96"/>
    <w:rsid w:val="248213F1"/>
    <w:rsid w:val="25BD7738"/>
    <w:rsid w:val="26521C54"/>
    <w:rsid w:val="279428D1"/>
    <w:rsid w:val="27AE0917"/>
    <w:rsid w:val="286D53EC"/>
    <w:rsid w:val="2A9721FE"/>
    <w:rsid w:val="2AC936AC"/>
    <w:rsid w:val="2B180B48"/>
    <w:rsid w:val="2BDC1D9C"/>
    <w:rsid w:val="2BE072C1"/>
    <w:rsid w:val="2BF827E3"/>
    <w:rsid w:val="2C1A6F09"/>
    <w:rsid w:val="2C5341B7"/>
    <w:rsid w:val="2CFD18A8"/>
    <w:rsid w:val="2D080B74"/>
    <w:rsid w:val="2DA471A1"/>
    <w:rsid w:val="2DF331EF"/>
    <w:rsid w:val="2DFC5FBC"/>
    <w:rsid w:val="2EE741D8"/>
    <w:rsid w:val="2F1F0253"/>
    <w:rsid w:val="2FA750F0"/>
    <w:rsid w:val="302612AC"/>
    <w:rsid w:val="310275E6"/>
    <w:rsid w:val="310529FA"/>
    <w:rsid w:val="333A6AC0"/>
    <w:rsid w:val="335F16C4"/>
    <w:rsid w:val="33AB1A5E"/>
    <w:rsid w:val="34DC57D3"/>
    <w:rsid w:val="35110080"/>
    <w:rsid w:val="364868A5"/>
    <w:rsid w:val="36A73843"/>
    <w:rsid w:val="384A6F56"/>
    <w:rsid w:val="38CE3800"/>
    <w:rsid w:val="397A5504"/>
    <w:rsid w:val="39D4235F"/>
    <w:rsid w:val="39F65E05"/>
    <w:rsid w:val="3A782E1A"/>
    <w:rsid w:val="3A951B45"/>
    <w:rsid w:val="3B8064B4"/>
    <w:rsid w:val="3BB73235"/>
    <w:rsid w:val="3BFB4879"/>
    <w:rsid w:val="3C4C1C8F"/>
    <w:rsid w:val="3C643660"/>
    <w:rsid w:val="3C9046B8"/>
    <w:rsid w:val="3D2A2A59"/>
    <w:rsid w:val="3D315B8A"/>
    <w:rsid w:val="3D4D05B2"/>
    <w:rsid w:val="3DD70146"/>
    <w:rsid w:val="3E385A7D"/>
    <w:rsid w:val="3E695F05"/>
    <w:rsid w:val="3E9F4046"/>
    <w:rsid w:val="3FD9341A"/>
    <w:rsid w:val="40DE1750"/>
    <w:rsid w:val="41024A57"/>
    <w:rsid w:val="413D0E6E"/>
    <w:rsid w:val="415E30FF"/>
    <w:rsid w:val="4201702E"/>
    <w:rsid w:val="42402417"/>
    <w:rsid w:val="42A02D73"/>
    <w:rsid w:val="44436A32"/>
    <w:rsid w:val="46F560E9"/>
    <w:rsid w:val="480A6789"/>
    <w:rsid w:val="48125AD4"/>
    <w:rsid w:val="490406EA"/>
    <w:rsid w:val="49191066"/>
    <w:rsid w:val="49313935"/>
    <w:rsid w:val="495632FA"/>
    <w:rsid w:val="49DE42B6"/>
    <w:rsid w:val="4A780B6D"/>
    <w:rsid w:val="4AD911BD"/>
    <w:rsid w:val="4B173257"/>
    <w:rsid w:val="4B941543"/>
    <w:rsid w:val="4BBA02F3"/>
    <w:rsid w:val="4BC13F2C"/>
    <w:rsid w:val="4C247965"/>
    <w:rsid w:val="4C26313D"/>
    <w:rsid w:val="4D4D4751"/>
    <w:rsid w:val="4DB56E60"/>
    <w:rsid w:val="4DDB1F0C"/>
    <w:rsid w:val="4E144593"/>
    <w:rsid w:val="4E560462"/>
    <w:rsid w:val="4E680FDD"/>
    <w:rsid w:val="4E6E2FBF"/>
    <w:rsid w:val="4E6F00B2"/>
    <w:rsid w:val="4E80735E"/>
    <w:rsid w:val="4EBE25EB"/>
    <w:rsid w:val="4F102499"/>
    <w:rsid w:val="4F3B2A0F"/>
    <w:rsid w:val="4F652F0A"/>
    <w:rsid w:val="4F906066"/>
    <w:rsid w:val="50DE72B2"/>
    <w:rsid w:val="51C848AD"/>
    <w:rsid w:val="51F4251D"/>
    <w:rsid w:val="523E5817"/>
    <w:rsid w:val="52E32E2E"/>
    <w:rsid w:val="532B1CC6"/>
    <w:rsid w:val="533349C5"/>
    <w:rsid w:val="538A0E9F"/>
    <w:rsid w:val="53C85737"/>
    <w:rsid w:val="53DF754A"/>
    <w:rsid w:val="541772BE"/>
    <w:rsid w:val="54447BE0"/>
    <w:rsid w:val="54481D20"/>
    <w:rsid w:val="547E0AA5"/>
    <w:rsid w:val="55164E14"/>
    <w:rsid w:val="56047D84"/>
    <w:rsid w:val="56356B43"/>
    <w:rsid w:val="573F18DD"/>
    <w:rsid w:val="5829493E"/>
    <w:rsid w:val="58657D13"/>
    <w:rsid w:val="5953422A"/>
    <w:rsid w:val="59641D79"/>
    <w:rsid w:val="59B24DC8"/>
    <w:rsid w:val="5A1E34E2"/>
    <w:rsid w:val="5A8655CF"/>
    <w:rsid w:val="5B920B20"/>
    <w:rsid w:val="5C9C7FCA"/>
    <w:rsid w:val="5CB6770C"/>
    <w:rsid w:val="5CCF4B57"/>
    <w:rsid w:val="5EF4393E"/>
    <w:rsid w:val="5F236D6E"/>
    <w:rsid w:val="5F9429E9"/>
    <w:rsid w:val="5F951E38"/>
    <w:rsid w:val="5FE46AB1"/>
    <w:rsid w:val="5FF60ECD"/>
    <w:rsid w:val="60400E77"/>
    <w:rsid w:val="60952615"/>
    <w:rsid w:val="60D12887"/>
    <w:rsid w:val="611D4A99"/>
    <w:rsid w:val="61423401"/>
    <w:rsid w:val="61F82EE5"/>
    <w:rsid w:val="626A2E47"/>
    <w:rsid w:val="62984C24"/>
    <w:rsid w:val="62B9490E"/>
    <w:rsid w:val="62DE530E"/>
    <w:rsid w:val="630A04B1"/>
    <w:rsid w:val="630B557B"/>
    <w:rsid w:val="648C4953"/>
    <w:rsid w:val="64A0655C"/>
    <w:rsid w:val="652624A7"/>
    <w:rsid w:val="65686CFF"/>
    <w:rsid w:val="66B321EE"/>
    <w:rsid w:val="66D2508D"/>
    <w:rsid w:val="66D25C14"/>
    <w:rsid w:val="66E171F9"/>
    <w:rsid w:val="66E60688"/>
    <w:rsid w:val="66EC1B02"/>
    <w:rsid w:val="673C5FBB"/>
    <w:rsid w:val="67577F2B"/>
    <w:rsid w:val="683E1A36"/>
    <w:rsid w:val="68767F41"/>
    <w:rsid w:val="6AAE1A62"/>
    <w:rsid w:val="6B480D06"/>
    <w:rsid w:val="6BA56793"/>
    <w:rsid w:val="6C132D8B"/>
    <w:rsid w:val="6C206559"/>
    <w:rsid w:val="6DD50AB7"/>
    <w:rsid w:val="6EEA2FD9"/>
    <w:rsid w:val="6F2C5C33"/>
    <w:rsid w:val="6F5850B4"/>
    <w:rsid w:val="6F8C16CC"/>
    <w:rsid w:val="6FB47E34"/>
    <w:rsid w:val="6FF0314D"/>
    <w:rsid w:val="70282B3D"/>
    <w:rsid w:val="71011835"/>
    <w:rsid w:val="71FD46C3"/>
    <w:rsid w:val="7251270A"/>
    <w:rsid w:val="72C15CD8"/>
    <w:rsid w:val="735B630D"/>
    <w:rsid w:val="736C7EB9"/>
    <w:rsid w:val="73DC2906"/>
    <w:rsid w:val="74704934"/>
    <w:rsid w:val="75DF3031"/>
    <w:rsid w:val="76042365"/>
    <w:rsid w:val="77A44627"/>
    <w:rsid w:val="78083119"/>
    <w:rsid w:val="786F58CA"/>
    <w:rsid w:val="78787971"/>
    <w:rsid w:val="78A73C47"/>
    <w:rsid w:val="79173DDA"/>
    <w:rsid w:val="79C56EE6"/>
    <w:rsid w:val="7A2434C4"/>
    <w:rsid w:val="7B4D0237"/>
    <w:rsid w:val="7B5664EE"/>
    <w:rsid w:val="7B9E0197"/>
    <w:rsid w:val="7BAD2790"/>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2018-03-12T03:03:58Z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