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i w:val="0"/>
          <w:iCs w:val="0"/>
          <w:caps w:val="0"/>
          <w:color w:val="FF0000"/>
          <w:spacing w:val="0"/>
          <w:sz w:val="24"/>
          <w:szCs w:val="24"/>
        </w:rPr>
      </w:pPr>
      <w:r>
        <w:rPr>
          <w:rFonts w:ascii="微软雅黑" w:hAnsi="微软雅黑" w:eastAsia="微软雅黑" w:cs="微软雅黑"/>
          <w:i w:val="0"/>
          <w:iCs w:val="0"/>
          <w:caps w:val="0"/>
          <w:color w:val="FF0000"/>
          <w:spacing w:val="0"/>
          <w:sz w:val="24"/>
          <w:szCs w:val="24"/>
        </w:rPr>
        <w:t>2021年临床执业医师《</w:t>
      </w:r>
      <w:r>
        <w:rPr>
          <w:rFonts w:hint="eastAsia" w:ascii="微软雅黑" w:hAnsi="微软雅黑" w:eastAsia="微软雅黑" w:cs="微软雅黑"/>
          <w:i w:val="0"/>
          <w:iCs w:val="0"/>
          <w:caps w:val="0"/>
          <w:color w:val="FF0000"/>
          <w:spacing w:val="0"/>
          <w:sz w:val="24"/>
          <w:szCs w:val="24"/>
          <w:lang w:eastAsia="zh-CN"/>
        </w:rPr>
        <w:t>卫生法规</w:t>
      </w:r>
      <w:r>
        <w:rPr>
          <w:rFonts w:ascii="微软雅黑" w:hAnsi="微软雅黑" w:eastAsia="微软雅黑" w:cs="微软雅黑"/>
          <w:i w:val="0"/>
          <w:iCs w:val="0"/>
          <w:caps w:val="0"/>
          <w:color w:val="FF0000"/>
          <w:spacing w:val="0"/>
          <w:sz w:val="24"/>
          <w:szCs w:val="24"/>
        </w:rPr>
        <w:t>》考试大纲</w:t>
      </w:r>
    </w:p>
    <w:tbl>
      <w:tblPr>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220"/>
        <w:gridCol w:w="1326"/>
        <w:gridCol w:w="49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0" w:hRule="atLeast"/>
          <w:tblCellSpacing w:w="0" w:type="dxa"/>
          <w:jc w:val="center"/>
        </w:trPr>
        <w:tc>
          <w:tcPr>
            <w:tcW w:w="0" w:type="auto"/>
            <w:vMerge w:val="restart"/>
            <w:shd w:val="clear" w:color="auto" w:fill="auto"/>
            <w:vAlign w:val="center"/>
          </w:tcPr>
          <w:p>
            <w:pPr>
              <w:keepNext w:val="0"/>
              <w:keepLines w:val="0"/>
              <w:widowControl/>
              <w:suppressLineNumbers w:val="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一、卫生法基础知识</w:t>
            </w:r>
          </w:p>
        </w:tc>
        <w:tc>
          <w:tcPr>
            <w:tcW w:w="0" w:type="auto"/>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1.卫生法的概念、分类和作用</w:t>
            </w:r>
          </w:p>
        </w:tc>
        <w:tc>
          <w:tcPr>
            <w:tcW w:w="0" w:type="auto"/>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（1）卫生法的概念 （2）卫生法的分类 （3）卫生法的作用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86" w:hRule="atLeast"/>
          <w:tblCellSpacing w:w="0" w:type="dxa"/>
          <w:jc w:val="center"/>
        </w:trPr>
        <w:tc>
          <w:tcPr>
            <w:tcW w:w="0" w:type="auto"/>
            <w:vMerge w:val="continue"/>
            <w:shd w:val="clear" w:color="auto" w:fill="auto"/>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2.卫生法的形式、效力和解释</w:t>
            </w:r>
          </w:p>
        </w:tc>
        <w:tc>
          <w:tcPr>
            <w:tcW w:w="0" w:type="auto"/>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（1）卫生法的形式 （2）卫生法的效力 （3）卫生法的解释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756" w:hRule="atLeast"/>
          <w:tblCellSpacing w:w="0" w:type="dxa"/>
          <w:jc w:val="center"/>
        </w:trPr>
        <w:tc>
          <w:tcPr>
            <w:tcW w:w="0" w:type="auto"/>
            <w:vMerge w:val="continue"/>
            <w:shd w:val="clear" w:color="auto" w:fill="auto"/>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3.卫生法的守法、执法和司法</w:t>
            </w:r>
          </w:p>
        </w:tc>
        <w:tc>
          <w:tcPr>
            <w:tcW w:w="0" w:type="auto"/>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（1）卫生法的守法 （2）卫生法的执法 （3）卫生法的司法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531" w:hRule="atLeast"/>
          <w:tblCellSpacing w:w="0" w:type="dxa"/>
          <w:jc w:val="center"/>
        </w:trPr>
        <w:tc>
          <w:tcPr>
            <w:tcW w:w="0" w:type="auto"/>
            <w:vMerge w:val="restart"/>
            <w:tcBorders>
              <w:top w:val="nil"/>
              <w:left w:val="single" w:color="000000" w:sz="6" w:space="0"/>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二、基本医疗卫生与健康促进法</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1.概述</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（1）医疗卫生事业的原则</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（2）尊重、保护公民的健康权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10" w:hRule="atLeast"/>
          <w:tblCellSpacing w:w="0" w:type="dxa"/>
          <w:jc w:val="center"/>
        </w:trPr>
        <w:tc>
          <w:tcPr>
            <w:tcW w:w="0" w:type="auto"/>
            <w:vMerge w:val="continue"/>
            <w:tcBorders>
              <w:top w:val="nil"/>
              <w:left w:val="single" w:color="000000" w:sz="6" w:space="0"/>
              <w:bottom w:val="nil"/>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2.基本医疗卫生服务</w:t>
            </w:r>
          </w:p>
        </w:tc>
        <w:tc>
          <w:tcPr>
            <w:tcW w:w="0" w:type="auto"/>
            <w:tcBorders>
              <w:top w:val="single" w:color="000000" w:sz="6" w:space="0"/>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（1）基本医疗服务的内容</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（2）基本医疗服务分级诊疗制度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50" w:hRule="atLeast"/>
          <w:tblCellSpacing w:w="0" w:type="dxa"/>
          <w:jc w:val="center"/>
        </w:trPr>
        <w:tc>
          <w:tcPr>
            <w:tcW w:w="0" w:type="auto"/>
            <w:vMerge w:val="continue"/>
            <w:tcBorders>
              <w:top w:val="nil"/>
              <w:left w:val="single" w:color="000000" w:sz="6" w:space="0"/>
              <w:bottom w:val="nil"/>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3.医疗卫生机构</w:t>
            </w:r>
          </w:p>
        </w:tc>
        <w:tc>
          <w:tcPr>
            <w:tcW w:w="0" w:type="auto"/>
            <w:tcBorders>
              <w:top w:val="single" w:color="000000" w:sz="6" w:space="0"/>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（1）医疗卫生服务体系</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（2）医疗卫生机构分类管理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nil"/>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4.医疗卫生人员</w:t>
            </w:r>
          </w:p>
        </w:tc>
        <w:tc>
          <w:tcPr>
            <w:tcW w:w="0" w:type="auto"/>
            <w:tcBorders>
              <w:top w:val="single" w:color="000000" w:sz="6" w:space="0"/>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（1）提高专业水平和服务质量</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（2）保障医疗卫生人员执业环境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95" w:hRule="atLeast"/>
          <w:tblCellSpacing w:w="0" w:type="dxa"/>
          <w:jc w:val="center"/>
        </w:trPr>
        <w:tc>
          <w:tcPr>
            <w:tcW w:w="0" w:type="auto"/>
            <w:vMerge w:val="continue"/>
            <w:tcBorders>
              <w:top w:val="nil"/>
              <w:left w:val="single" w:color="000000" w:sz="6" w:space="0"/>
              <w:bottom w:val="nil"/>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5.健康促进</w:t>
            </w:r>
          </w:p>
        </w:tc>
        <w:tc>
          <w:tcPr>
            <w:tcW w:w="0" w:type="auto"/>
            <w:tcBorders>
              <w:top w:val="single" w:color="000000" w:sz="6" w:space="0"/>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健康知识宣传和普及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restar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三</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、传染病防治法</w:t>
            </w: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1.概述</w:t>
            </w:r>
          </w:p>
        </w:tc>
        <w:tc>
          <w:tcPr>
            <w:tcW w:w="0" w:type="auto"/>
            <w:tcBorders>
              <w:top w:val="single" w:color="000000" w:sz="6" w:space="0"/>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（1）传染病防治方针和原则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（2）传染病的分类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（3）甲类传染病预防控制措施的适用范围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2.传染病预防</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（1）预防接种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（2）传染病监测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（3）传染病预警制度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（4）传染病菌种、毒种管理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（5）疾病预防控制机构的职责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（6）医疗机构的职责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0" w:hRule="atLeast"/>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（7）传染病病人、病原携带者和疑似传染病病人合法权益保护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3.疫情报告、通报和公布</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（1）传染病疫情的报告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（2）传染病疫情的通报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（3）传染病疫情信息的公布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4.疫情控制</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（1）控制措施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（2）紧急措施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（3）疫区封锁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5.医疗救治</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（1）预防医院感染的要求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（2）开展医疗救治的要求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6.法律责任</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（1）疾病预防控制机构的法律责任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（2）医疗机构的法律责任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71" w:hRule="atLeast"/>
          <w:tblCellSpacing w:w="0" w:type="dxa"/>
          <w:jc w:val="center"/>
        </w:trPr>
        <w:tc>
          <w:tcPr>
            <w:tcW w:w="0" w:type="auto"/>
            <w:vMerge w:val="restar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四</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、职业病防治法</w:t>
            </w: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1.概述</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（1）职业病的概念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71" w:hRule="atLeast"/>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（2）职业病分类和目录制定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71" w:hRule="atLeast"/>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（3）国家职业卫生标准的制定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71" w:hRule="atLeast"/>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（4）职业健康监护档案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71" w:hRule="atLeast"/>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2.职业病诊断与职业病病人保障</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（1）职业病诊断机构的设立及其条件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71" w:hRule="atLeast"/>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（2）职业病诊断应当综合分析的因素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71" w:hRule="atLeast"/>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（3）职业病诊断、鉴定的现场调查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71" w:hRule="atLeast"/>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（4）发现职业病病人或者疑似职业病病人的报告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71" w:hRule="atLeast"/>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（5）职业病诊断异议的处理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71" w:hRule="atLeast"/>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（6）职业病诊断鉴定委员会的组成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71" w:hRule="atLeast"/>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（7）职业病诊断鉴定委员会组成人员的责任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71" w:hRule="atLeast"/>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（8）劳动者职业病诊断地点的选择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71" w:hRule="atLeast"/>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3.法律责任</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（1）未按规定报告职业病的医疗卫生机构的法律责任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71" w:hRule="atLeast"/>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（2）擅自从事职业病诊断的医疗卫生机构的法律责任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71" w:hRule="atLeast"/>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（3）承担职业病诊断的医疗卫生机构的法律责任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71" w:hRule="atLeast"/>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（4）职业病诊断鉴定委员会组成人的法律责任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restar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五、突发公共卫生事件应急条例</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1.概述</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突发公共卫生事件的概念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2.报告与信息发布</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（1）医疗卫生机构的职责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（2）信息发布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3.法律责任</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医疗卫生机构的法律责任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restar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六、疫苗管理法</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1.概述</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疫苗的概念与分类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2.疫苗流通</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（1）疫苗的采购</w:t>
            </w: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和供应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（2）疫苗的</w:t>
            </w: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接收和购进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3.疫苗接种</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（1）接种单位应当具备的条件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（2）疫苗接种单位的管理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（3）医疗卫生人员的责任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（4）儿童预防接种的管理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（5）群体性预防接种的管理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（6）疾病预防控制机构的职责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4.异常反应的监测和处理</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（1）预防接种异常反应的概念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（2）不属于预防接种异常反应的情形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（3）预防接种异常反应的处理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（4）预防接种异常反应的补偿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5.法律责任</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（1）疫苗接种未遵循预防接种工作规范等的法律责任</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（2）未按规定建立并保存疫苗接收、购进、接种、处置等记录的法律责任</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（3）未按规定报告疑似预防接种异常反应等的法律责任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restar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七、艾滋病防治条例</w:t>
            </w: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1.概述</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（1）艾滋病防治原则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（2）不歧视规定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0" w:hRule="atLeast"/>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2.预防与控制</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（1）艾滋病监测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（2）自愿咨询和自愿检测制度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（3）艾滋病患者的义务及其隐私权保护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（4）采集或使用人体血液、血浆、组织的管理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3.治疗与救助</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医疗卫生机构的责任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4.法律责任</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医疗卫生机构的法律责任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restar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八、母婴保健法及其实施办法</w:t>
            </w: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1.概述</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（1）母婴保健工作方针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（2）母婴保健技术服务事项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2.婚前保健</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（1）婚前保健的内容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（2）婚前医学检查意见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3.孕产期保健</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（1）孕产期保健服务的内容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（2）医学指导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0" w:hRule="atLeast"/>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（3）产前诊断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（4）终止妊娠意见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（5）新生儿出生医学证明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（6）产妇、婴儿以及新生儿出生缺陷报告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0" w:hRule="atLeast"/>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4.技术鉴定</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（1）鉴定机构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（2）鉴定人员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0" w:hRule="atLeast"/>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（3）回避制度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5.行政管理</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母婴保健专项技术许可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6.法律责任</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（1）擅自从事母婴保健技术的法律责任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（2）出具虚假医学证明文件的法律责任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（3）违反规定进行胎儿性别鉴定的法律责任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restar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九、献血法</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1.概述</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无偿献血制度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2.医疗机构的职责</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（1）医疗机构用血管理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（2）医疗机构用血要求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3.血站的责任</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（1）采血要求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（2）供血要求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4.法律责任</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（1）医疗机构的法律责任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（2）血站的法律责任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restar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十、</w:t>
            </w:r>
            <w:r>
              <w:rPr>
                <w:rFonts w:hint="eastAsia" w:ascii="微软雅黑" w:hAnsi="微软雅黑" w:eastAsia="微软雅黑" w:cs="微软雅黑"/>
                <w:i w:val="0"/>
                <w:iCs w:val="0"/>
                <w:caps w:val="0"/>
                <w:color w:val="333333"/>
                <w:spacing w:val="0"/>
                <w:kern w:val="0"/>
                <w:sz w:val="24"/>
                <w:szCs w:val="24"/>
                <w:lang w:val="en-US" w:eastAsia="zh-CN" w:bidi="ar"/>
              </w:rPr>
              <w:t>执业</w:t>
            </w:r>
            <w:bookmarkStart w:id="0" w:name="_GoBack"/>
            <w:bookmarkEnd w:id="0"/>
            <w:r>
              <w:rPr>
                <w:rFonts w:hint="eastAsia" w:ascii="微软雅黑" w:hAnsi="微软雅黑" w:eastAsia="微软雅黑" w:cs="微软雅黑"/>
                <w:i w:val="0"/>
                <w:iCs w:val="0"/>
                <w:caps w:val="0"/>
                <w:color w:val="333333"/>
                <w:spacing w:val="0"/>
                <w:kern w:val="0"/>
                <w:sz w:val="24"/>
                <w:szCs w:val="24"/>
                <w:lang w:val="en-US" w:eastAsia="zh-CN" w:bidi="ar"/>
              </w:rPr>
              <w:t>医师</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法</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1.概述</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医师的基本要求及职责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2.考试和注册</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（1）参加医师资格考试的条件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（2）医师资格种类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（3）执业注册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0" w:hRule="atLeast"/>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（4）准予注册、不予注册、注销注册、变更注册、重新注册的情形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（5）对不予注册、注销注册持有异议的法律救济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3.执业规则</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（1）医师在执业活动中的权利和义务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（2）医师执业要求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（3）执业助理医师的特别规定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4.考核和培训</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（1）医师考核内容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（2）医师考核不合格的处理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（3）表彰与奖励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5.法律责任</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（1）以不正当手段取得医师执业证书的法律责任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（2）医师执业活动中违法行为的法律责任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（3）擅自开办医疗机构或者非法行医的法律责任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restar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十一、医疗损害责任（《中华人民共和国民法典》第七编第六章）</w:t>
            </w: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1.概述</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（1）医疗损害责任的赔偿主体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（2）推定医疗机构有过错的情形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（3）医疗机构不承担赔偿责任的情形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2.医疗机构承担赔偿责任的情形</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（1）未尽到说明义务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（2）未尽到与当时医疗水平相应的诊疗义务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（3）泄露患者隐私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3.紧急情况医疗措施的实施</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紧急情况实施相应医疗措施的条件和程序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4.病历资料</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（1）填写与保管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（2）查阅与复制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5.对医疗行为的规范</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不得违反诊疗规范实施不必要的检查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6.医疗机构及其医务人员权益保护</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干扰医疗秩序和妨害医务人员工作、生活的法律后果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restar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十二、精神卫生法</w:t>
            </w: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1.概述</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（1）精神卫生工作的方针、</w:t>
            </w: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原则和管理机制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（2）精神障碍患者合法权益保护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2.心理健康促进和精神障碍预防</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医务人员对就诊者的心理健康指导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3.精神障碍的诊断和预防</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（1）开展精神障碍诊断、治疗活动应具备的条件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（2）精神障碍诊断、治疗原则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（3）精神障碍的诊断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（4）精神障碍的住院治疗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（5）再次诊断和医学鉴定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（6）医疗机构及其医务人员应当履行的责任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（7）保护性医疗措施的实施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（8）使用药物的要求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（9）病例资料及保管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（10）心理治疗活动的开展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4.精神障碍的康复</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（1）康复技术指导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（2）严重精神障碍患者的健康档案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5.法律责任</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（1）医疗机构擅自从事精神障碍诊断、治疗的法律责任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（2）医疗机构及其工作人员的法律责任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（3）从事心理治疗人员的法律责任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restar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十三、医疗机构管理条例及其实施细则</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1.概述</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医疗机构服务宗旨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2.医疗机构执业</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执业规则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3.登记和校验</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（1）登记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（2）校验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4.法律责任</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医疗机构的法律责任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restar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十四、医疗纠纷预防和处理条例</w:t>
            </w: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1.概述</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（1）医疗纠纷的概念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（2）处理医疗纠纷的原则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2.医疗纠纷预防</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（1）遵守医疗卫生法律和恪守职业道德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（2）加强医疗质量安全和风险管理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（3）严格执行药品管理制度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（4）履行告知义务</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（5）病历书写、保管与查阅、复制</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（6）建立健全医患沟通机制</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（7）建立健全投诉接待制度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3.医疗纠纷处理</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（1）解决医疗纠纷的途径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（2）病历资料的封存和启封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（3）现场实物的封存和启封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（4）尸检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（5）医疗损害鉴定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4.法律责任</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（1）医疗机构篡改、伪造、隐匿、毁灭病历资料的法律责任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（2）医疗机构将未通过技术评估和伦理审查的医疗新技术应用于临床的法律责任</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（3）医疗机构激期医务人员未履行规定义务的法律责任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restart"/>
            <w:tcBorders>
              <w:top w:val="nil"/>
              <w:left w:val="single" w:color="000000" w:sz="6" w:space="0"/>
              <w:bottom w:val="single" w:color="000000"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十五、医疗事故处理条例</w:t>
            </w:r>
          </w:p>
        </w:tc>
        <w:tc>
          <w:tcPr>
            <w:tcW w:w="0" w:type="auto"/>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1.概述</w:t>
            </w:r>
          </w:p>
        </w:tc>
        <w:tc>
          <w:tcPr>
            <w:tcW w:w="0" w:type="auto"/>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（1）</w:t>
            </w: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医疗事故的概念及其处理原则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auto"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（2）处理医疗事故的基本要求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auto"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2.医疗事故的预防与处置</w:t>
            </w:r>
          </w:p>
        </w:tc>
        <w:tc>
          <w:tcPr>
            <w:tcW w:w="0" w:type="auto"/>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医疗事故的报告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21" w:hRule="atLeast"/>
          <w:tblCellSpacing w:w="0" w:type="dxa"/>
          <w:jc w:val="center"/>
        </w:trPr>
        <w:tc>
          <w:tcPr>
            <w:tcW w:w="0" w:type="auto"/>
            <w:vMerge w:val="continue"/>
            <w:tcBorders>
              <w:top w:val="nil"/>
              <w:left w:val="single" w:color="000000" w:sz="6" w:space="0"/>
              <w:bottom w:val="single" w:color="000000" w:sz="6" w:space="0"/>
              <w:right w:val="single" w:color="auto"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3.医疗事故的行政处理与监督</w:t>
            </w:r>
          </w:p>
        </w:tc>
        <w:tc>
          <w:tcPr>
            <w:tcW w:w="0" w:type="auto"/>
            <w:tcBorders>
              <w:top w:val="nil"/>
              <w:left w:val="nil"/>
              <w:bottom w:val="nil"/>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（1）卫生行政部门对重大医疗过失行为的处理</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（2）卫生行政部门对发生医疗事故的医疗机构和医务人员的行政处理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auto"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4.法律责任</w:t>
            </w:r>
          </w:p>
        </w:tc>
        <w:tc>
          <w:tcPr>
            <w:tcW w:w="0" w:type="auto"/>
            <w:tcBorders>
              <w:top w:val="single" w:color="auto" w:sz="6" w:space="0"/>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（1）医疗机构的法律责任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auto"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FF0000"/>
                <w:spacing w:val="0"/>
                <w:kern w:val="0"/>
                <w:sz w:val="24"/>
                <w:szCs w:val="24"/>
                <w:bdr w:val="none" w:color="auto" w:sz="0" w:space="0"/>
                <w:lang w:val="en-US" w:eastAsia="zh-CN" w:bidi="ar"/>
              </w:rPr>
              <w:t>（2）医务人员的法律责任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restar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十六、人体器官移植条例</w:t>
            </w: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1.概述</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（1）申请人体器官移植手术患者排序原则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（2）禁止买卖人体器官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2.人体器官的捐献</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（1）捐献原则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（2）捐献人体器官公民的条件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（3）捐献意愿的撤销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（4）活体器官捐献人的条件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（5）活体器官接受人的条件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3.人体器官的移植</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（1）诊疗科目登记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（2）捐献人的医学检查和接受人的风险评估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（3）伦理审查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（4）摘取活体器官应当履行的义务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（5）摘取尸体器官的要求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（6）个人资料保密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4.法律责任</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（1）医疗机构的法律责任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（2）医务人员的法律责任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restar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十七、放射诊疗管理规定</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1.概述</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放射诊疗的概念与分类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2.执业条件</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（1）安全防护装置、辐射检测仪器和个人防护用品的配备与使用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（2）设备和场所警示标志的设置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3.安全防护与质量保证</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（1）场所防护要求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（2）工作人员防护要求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（3）患者和受检查的防护要求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（4）放射诊断检查的原则和实施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（5）放射治疗的原则和实施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4.法律责任</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医疗机构的法律责任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restar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十八、处方管理办法</w:t>
            </w: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1.概述</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（1）处方的概念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（2）处方开具与调剂原则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2.处方管理的一般规定</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（1）处方书写的规则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（2）药品剂量与数量的书写的要求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3.处方权的获得</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（1）处方权的取得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（2）开具处方的条件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4.处方的开具</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开具处方的要求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5.监督管理</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医疗机构对处方的管理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6.法律责任</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医师的法律责任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restar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十九、抗菌药物临床应用管理办法</w:t>
            </w: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1.概述</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（1）抗菌药物临床应用的原则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（2）抗菌药物临床应用的分级管理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2.抗菌药物临床应用管理</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（1）遴选和定期评估制度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（2）细菌耐药预警机制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（3）异常情况的调查和处理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（4）抗菌药物临床应用知识和规范化管理培训及考核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3.抗菌药物的临床应用</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（1）处方权的授予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（2）预防感染指征的掌握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（3）特殊使用级抗菌药物的使用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（4）越级使用的情形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4.监督管理</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（1）抗菌药物处方、医嘱点评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（2）对开具抗菌药物超常处方医师的处理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（3）取消医师抗菌药物处方权的情形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5.法律责任</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（1）开具抗菌药物牟取不正当利益的法律责任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（2）医师违反抗菌药物临床应用规定的法律责任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restar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二十、医疗机构临床用血管理办法</w:t>
            </w: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1.概述</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（1）临床输血管理委员会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（2）输血科（血库）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2.临床用血管理</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（1）临床用血计划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（2）医务人员职责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（3）临床用血申请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（4）签署临床输血治疗知情同意书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（5）临时采集血液必须同时符合的条件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（6）临床用血不良事件监测报告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（7）临床用血医学文书管理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3.法律责任</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（1）医疗机构的法律责任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（2）医务人员的法律责任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restar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二十一、药品管理法及其实施条例</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1.概述</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药品的概念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2.药品管理</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（1）禁止生产、销售假药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（2）禁止生产、销售劣药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（3）处方药与非处方药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3.法律责任</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（1）医疗机构在药品购销中违法行为的法律责任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（2）医疗机构相关人员违法行为的法律责任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restar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二十二、麻醉药品和精神药品管理条例</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1.概述</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麻醉药品和精神药品的概念及其临床使用原则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2.麻醉药品和精神药品的使用</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（1）麻醉药品、第一类精神药品购用印鉴卡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（2）麻醉药物和精神药品处方权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（3）麻醉药品、第一类精神药品的使用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3.法律责任</w:t>
            </w: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（1）医疗机构的法律责任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nil"/>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（2）具有麻醉药品和第一类精神药品处方资格医师的法律责任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（3）未取得麻醉药品和第一类精神药品处方资格医师的法律责任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71" w:hRule="atLeast"/>
          <w:tblCellSpacing w:w="0" w:type="dxa"/>
          <w:jc w:val="center"/>
        </w:trPr>
        <w:tc>
          <w:tcPr>
            <w:tcW w:w="0" w:type="auto"/>
            <w:vMerge w:val="restar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二十三、药品不良反应报告和监测管理办法</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1.概述</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药品不良反应的概念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71" w:hRule="atLeast"/>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2.报告与处置</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医疗机构的职责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71" w:hRule="atLeast"/>
          <w:tblCellSpacing w:w="0" w:type="dxa"/>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3.法律责任</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医疗机构的法律责任</w:t>
            </w:r>
          </w:p>
        </w:tc>
      </w:tr>
    </w:tbl>
    <w:p>
      <w:pPr>
        <w:jc w:val="center"/>
        <w:rPr>
          <w:rFonts w:hint="eastAsia" w:ascii="微软雅黑" w:hAnsi="微软雅黑" w:eastAsia="微软雅黑" w:cs="微软雅黑"/>
          <w:i w:val="0"/>
          <w:iCs w:val="0"/>
          <w:caps w:val="0"/>
          <w:color w:val="FF0000"/>
          <w:spacing w:val="0"/>
          <w:sz w:val="24"/>
          <w:szCs w:val="24"/>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cstheme="minorEastAsia"/>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Theme="minorEastAsia" w:hAnsiTheme="minorEastAsia" w:cstheme="minorEastAsia"/>
        <w:sz w:val="24"/>
      </w:rPr>
      <w:t>金英杰教育                                         www.jinyingjie.com</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heme="minorEastAsia" w:hAnsiTheme="minorEastAsia" w:cstheme="minorEastAsia"/>
        <w:sz w:val="24"/>
      </w:rPr>
    </w:pPr>
    <w:r>
      <w:drawing>
        <wp:anchor distT="0" distB="0" distL="114300" distR="114300" simplePos="0" relativeHeight="251659264" behindDoc="1" locked="0" layoutInCell="1" allowOverlap="1">
          <wp:simplePos x="0" y="0"/>
          <wp:positionH relativeFrom="margin">
            <wp:posOffset>-2668270</wp:posOffset>
          </wp:positionH>
          <wp:positionV relativeFrom="margin">
            <wp:posOffset>-2348865</wp:posOffset>
          </wp:positionV>
          <wp:extent cx="10607040" cy="14952980"/>
          <wp:effectExtent l="0" t="0" r="3810" b="1270"/>
          <wp:wrapNone/>
          <wp:docPr id="4" name="WordPictureWatermark12756" descr="logo水印-0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2756" descr="logo水印-011112"/>
                  <pic:cNvPicPr>
                    <a:picLocks noChangeAspect="1"/>
                  </pic:cNvPicPr>
                </pic:nvPicPr>
                <pic:blipFill>
                  <a:blip r:embed="rId1">
                    <a:lum bright="69998" contrast="-70001"/>
                  </a:blip>
                  <a:stretch>
                    <a:fillRect/>
                  </a:stretch>
                </pic:blipFill>
                <pic:spPr>
                  <a:xfrm>
                    <a:off x="0" y="0"/>
                    <a:ext cx="10607040" cy="14952980"/>
                  </a:xfrm>
                  <a:prstGeom prst="rect">
                    <a:avLst/>
                  </a:prstGeom>
                  <a:noFill/>
                  <a:ln w="9525">
                    <a:noFill/>
                  </a:ln>
                </pic:spPr>
              </pic:pic>
            </a:graphicData>
          </a:graphic>
        </wp:anchor>
      </w:drawing>
    </w:r>
    <w:r>
      <w:drawing>
        <wp:inline distT="0" distB="0" distL="114300" distR="114300">
          <wp:extent cx="1234440" cy="283845"/>
          <wp:effectExtent l="0" t="0" r="3810" b="190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2"/>
                  <a:stretch>
                    <a:fillRect/>
                  </a:stretch>
                </pic:blipFill>
                <pic:spPr>
                  <a:xfrm>
                    <a:off x="0" y="0"/>
                    <a:ext cx="1234440" cy="283845"/>
                  </a:xfrm>
                  <a:prstGeom prst="rect">
                    <a:avLst/>
                  </a:prstGeom>
                </pic:spPr>
              </pic:pic>
            </a:graphicData>
          </a:graphic>
        </wp:inline>
      </w:drawing>
    </w:r>
    <w:r>
      <w:rPr>
        <w:rFonts w:hint="eastAsia" w:asciiTheme="minorEastAsia" w:hAnsiTheme="minorEastAsia" w:cstheme="minorEastAsia"/>
        <w:sz w:val="24"/>
      </w:rPr>
      <w:t xml:space="preserve">                </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http://www.jinyingjie.com/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EE"/>
    <w:rsid w:val="0008003F"/>
    <w:rsid w:val="001C0713"/>
    <w:rsid w:val="003D5CE1"/>
    <w:rsid w:val="00896010"/>
    <w:rsid w:val="00963BC7"/>
    <w:rsid w:val="00BD7BEE"/>
    <w:rsid w:val="030E2367"/>
    <w:rsid w:val="10B0561E"/>
    <w:rsid w:val="1AE104EF"/>
    <w:rsid w:val="21A64E83"/>
    <w:rsid w:val="279428D1"/>
    <w:rsid w:val="2DFC5FBC"/>
    <w:rsid w:val="33AB1A5E"/>
    <w:rsid w:val="3ACB4C2F"/>
    <w:rsid w:val="3B8064B4"/>
    <w:rsid w:val="3C7324C0"/>
    <w:rsid w:val="40DE1750"/>
    <w:rsid w:val="41024A57"/>
    <w:rsid w:val="43004B86"/>
    <w:rsid w:val="4BBA02F3"/>
    <w:rsid w:val="4DB56E60"/>
    <w:rsid w:val="5A786AA9"/>
    <w:rsid w:val="5BB2077A"/>
    <w:rsid w:val="5FFF1E2E"/>
    <w:rsid w:val="66D25C14"/>
    <w:rsid w:val="6BA56793"/>
    <w:rsid w:val="73DC2906"/>
    <w:rsid w:val="79481C39"/>
    <w:rsid w:val="7CC14811"/>
    <w:rsid w:val="7F3B10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link w:val="13"/>
    <w:qFormat/>
    <w:uiPriority w:val="10"/>
    <w:pPr>
      <w:spacing w:before="240" w:after="60"/>
      <w:jc w:val="center"/>
      <w:outlineLvl w:val="0"/>
    </w:pPr>
    <w:rPr>
      <w:rFonts w:eastAsia="宋体" w:asciiTheme="majorHAnsi" w:hAnsiTheme="majorHAnsi" w:cstheme="majorBidi"/>
      <w:b/>
      <w:bCs/>
      <w:sz w:val="32"/>
      <w:szCs w:val="32"/>
    </w:rPr>
  </w:style>
  <w:style w:type="character" w:styleId="10">
    <w:name w:val="Strong"/>
    <w:basedOn w:val="9"/>
    <w:qFormat/>
    <w:uiPriority w:val="0"/>
    <w:rPr>
      <w:b/>
    </w:rPr>
  </w:style>
  <w:style w:type="character" w:styleId="11">
    <w:name w:val="Hyperlink"/>
    <w:basedOn w:val="9"/>
    <w:uiPriority w:val="0"/>
    <w:rPr>
      <w:color w:val="0000FF"/>
      <w:u w:val="single"/>
    </w:rPr>
  </w:style>
  <w:style w:type="character" w:customStyle="1" w:styleId="12">
    <w:name w:val="批注框文本 Char"/>
    <w:basedOn w:val="9"/>
    <w:link w:val="3"/>
    <w:qFormat/>
    <w:uiPriority w:val="0"/>
    <w:rPr>
      <w:rFonts w:asciiTheme="minorHAnsi" w:hAnsiTheme="minorHAnsi" w:eastAsiaTheme="minorEastAsia" w:cstheme="minorBidi"/>
      <w:kern w:val="2"/>
      <w:sz w:val="18"/>
      <w:szCs w:val="18"/>
    </w:rPr>
  </w:style>
  <w:style w:type="character" w:customStyle="1" w:styleId="13">
    <w:name w:val="标题 Char"/>
    <w:basedOn w:val="9"/>
    <w:link w:val="7"/>
    <w:qFormat/>
    <w:uiPriority w:val="10"/>
    <w:rPr>
      <w:rFonts w:asciiTheme="majorHAnsi" w:hAnsiTheme="majorHAnsi" w:cstheme="majorBidi"/>
      <w:b/>
      <w:bCs/>
      <w:kern w:val="2"/>
      <w:sz w:val="32"/>
      <w:szCs w:val="32"/>
    </w:rPr>
  </w:style>
  <w:style w:type="paragraph" w:customStyle="1" w:styleId="14">
    <w:name w:val="Table Paragraph"/>
    <w:basedOn w:val="1"/>
    <w:qFormat/>
    <w:uiPriority w:val="1"/>
    <w:pPr>
      <w:spacing w:before="91"/>
      <w:ind w:left="107"/>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10036</Words>
  <Characters>11945</Characters>
  <Lines>58</Lines>
  <Paragraphs>16</Paragraphs>
  <TotalTime>24</TotalTime>
  <ScaleCrop>false</ScaleCrop>
  <LinksUpToDate>false</LinksUpToDate>
  <CharactersWithSpaces>11986</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lizhongqi</dc:creator>
  <cp:lastModifiedBy>王洪林</cp:lastModifiedBy>
  <dcterms:modified xsi:type="dcterms:W3CDTF">2020-12-17T06:31:34Z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