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年云南省医师资格实践技能考试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</w:rPr>
              <w:t>经风险研判后确定的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  <w:lang w:val="en-US" w:eastAsia="zh-CN"/>
              </w:rPr>
              <w:t>重点涉疫及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15"/>
                <w:sz w:val="32"/>
                <w:szCs w:val="32"/>
                <w:shd w:val="clear" w:fill="FFFFFF"/>
              </w:rPr>
              <w:t>涉疫地区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WI4YzVjZmJkN2YyNWZiZDI4ODI5ODdkZjZhMWUifQ=="/>
  </w:docVars>
  <w:rsids>
    <w:rsidRoot w:val="43AE32C1"/>
    <w:rsid w:val="43AE32C1"/>
    <w:rsid w:val="590F4F34"/>
    <w:rsid w:val="71F03147"/>
    <w:rsid w:val="7D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285</Characters>
  <Lines>0</Lines>
  <Paragraphs>0</Paragraphs>
  <TotalTime>1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kmyh</cp:lastModifiedBy>
  <cp:lastPrinted>2022-05-19T06:43:00Z</cp:lastPrinted>
  <dcterms:modified xsi:type="dcterms:W3CDTF">2022-05-19T08:29:23Z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EED251090E6542B6821C77A131D94B8E</vt:lpwstr>
  </property>
</Properties>
</file>